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89" w:rsidRDefault="004A7689" w:rsidP="002000F5">
      <w:pPr>
        <w:jc w:val="center"/>
        <w:rPr>
          <w:u w:val="single"/>
        </w:rPr>
      </w:pPr>
    </w:p>
    <w:p w:rsidR="00B1645B" w:rsidRPr="00E075EF" w:rsidRDefault="0036376D" w:rsidP="002000F5">
      <w:pPr>
        <w:jc w:val="center"/>
        <w:rPr>
          <w:u w:val="single"/>
        </w:rPr>
      </w:pPr>
      <w:r w:rsidRPr="00E075EF">
        <w:rPr>
          <w:u w:val="single"/>
        </w:rPr>
        <w:t xml:space="preserve">Balance 2019: </w:t>
      </w:r>
      <w:r w:rsidR="00916A28">
        <w:rPr>
          <w:u w:val="single"/>
        </w:rPr>
        <w:t>la falta de Cuerpos Médicos Forenses ya se tradujo en aumento de litigiosidad</w:t>
      </w:r>
    </w:p>
    <w:p w:rsidR="002000F5" w:rsidRPr="00E075EF" w:rsidRDefault="00D4433E" w:rsidP="002000F5">
      <w:pPr>
        <w:pStyle w:val="Prrafodelista"/>
        <w:numPr>
          <w:ilvl w:val="0"/>
          <w:numId w:val="1"/>
        </w:numPr>
      </w:pPr>
      <w:r>
        <w:t xml:space="preserve">La cobertura </w:t>
      </w:r>
      <w:r w:rsidR="009C0FE8">
        <w:t>termina el 2019</w:t>
      </w:r>
      <w:r>
        <w:t xml:space="preserve"> con 9,7</w:t>
      </w:r>
      <w:r w:rsidR="009C0FE8">
        <w:t>5</w:t>
      </w:r>
      <w:r>
        <w:t xml:space="preserve"> millones </w:t>
      </w:r>
      <w:r w:rsidR="002000F5" w:rsidRPr="00E075EF">
        <w:t xml:space="preserve">de trabajadores </w:t>
      </w:r>
    </w:p>
    <w:p w:rsidR="002000F5" w:rsidRPr="00E075EF" w:rsidRDefault="001910EB" w:rsidP="002000F5">
      <w:pPr>
        <w:pStyle w:val="Prrafodelista"/>
        <w:numPr>
          <w:ilvl w:val="0"/>
          <w:numId w:val="1"/>
        </w:numPr>
      </w:pPr>
      <w:r>
        <w:t>El servicio</w:t>
      </w:r>
      <w:r w:rsidR="002000F5" w:rsidRPr="00E075EF">
        <w:t xml:space="preserve"> recibido en términos de</w:t>
      </w:r>
      <w:r>
        <w:t xml:space="preserve"> asesoramiento, atención y reparación conserva su</w:t>
      </w:r>
      <w:r w:rsidR="002000F5" w:rsidRPr="00E075EF">
        <w:t xml:space="preserve"> alto nivel de satisfacción</w:t>
      </w:r>
      <w:r w:rsidR="009C0FE8">
        <w:t xml:space="preserve"> entre empleadores, alcanzando su pico en los últimos 10 años</w:t>
      </w:r>
    </w:p>
    <w:p w:rsidR="002000F5" w:rsidRPr="003F795C" w:rsidRDefault="002000F5" w:rsidP="002000F5">
      <w:pPr>
        <w:pStyle w:val="Prrafodelista"/>
        <w:numPr>
          <w:ilvl w:val="0"/>
          <w:numId w:val="1"/>
        </w:numPr>
        <w:rPr>
          <w:u w:val="single"/>
        </w:rPr>
      </w:pPr>
      <w:r w:rsidRPr="003F795C">
        <w:rPr>
          <w:u w:val="single"/>
        </w:rPr>
        <w:t>Sin embargo, comenzó a revertirse</w:t>
      </w:r>
      <w:r w:rsidR="00185716">
        <w:rPr>
          <w:u w:val="single"/>
        </w:rPr>
        <w:t xml:space="preserve"> </w:t>
      </w:r>
      <w:r w:rsidR="00916A28">
        <w:rPr>
          <w:u w:val="single"/>
        </w:rPr>
        <w:t xml:space="preserve">la baja de los juicios </w:t>
      </w:r>
      <w:r w:rsidR="00185716">
        <w:rPr>
          <w:u w:val="single"/>
        </w:rPr>
        <w:t>por la falta de constitución de los Cuerpos Médicos Forenses (CMF)</w:t>
      </w:r>
      <w:r w:rsidR="004A7689">
        <w:rPr>
          <w:u w:val="single"/>
        </w:rPr>
        <w:t xml:space="preserve"> </w:t>
      </w:r>
      <w:r w:rsidR="00185716">
        <w:rPr>
          <w:u w:val="single"/>
        </w:rPr>
        <w:t xml:space="preserve">en el ámbito </w:t>
      </w:r>
      <w:r w:rsidR="00185716" w:rsidRPr="00916A28">
        <w:rPr>
          <w:u w:val="single"/>
        </w:rPr>
        <w:t>judicial</w:t>
      </w:r>
      <w:r w:rsidR="004B55FA" w:rsidRPr="00916A28">
        <w:rPr>
          <w:u w:val="single"/>
        </w:rPr>
        <w:t>. +11% en septiembre,+4% en octubre, +6% en noviembre.</w:t>
      </w:r>
    </w:p>
    <w:p w:rsidR="00E075EF" w:rsidRPr="00916A28" w:rsidRDefault="003F795C" w:rsidP="00E075EF">
      <w:pPr>
        <w:pStyle w:val="Prrafodelista"/>
        <w:numPr>
          <w:ilvl w:val="0"/>
          <w:numId w:val="1"/>
        </w:numPr>
        <w:rPr>
          <w:lang w:val="es-ES"/>
        </w:rPr>
      </w:pPr>
      <w:r w:rsidRPr="00916A28">
        <w:t>La consecuencia, el riesgo inminente de desfinanciamiento del Sistema</w:t>
      </w:r>
      <w:r w:rsidR="00624D97" w:rsidRPr="00916A28">
        <w:t xml:space="preserve"> y echar por la borda el esfuerzo realizado</w:t>
      </w:r>
      <w:r w:rsidRPr="00916A28">
        <w:t>.</w:t>
      </w:r>
    </w:p>
    <w:p w:rsidR="001E7CE9" w:rsidRPr="00E075EF" w:rsidRDefault="001E7CE9">
      <w:r w:rsidRPr="00E075EF">
        <w:t xml:space="preserve">El año que termina nos deja para el Sistema de Riesgos del Trabajo un panorama dual. Por un lado, </w:t>
      </w:r>
      <w:r w:rsidR="001910EB">
        <w:t>se</w:t>
      </w:r>
      <w:r w:rsidRPr="00E075EF">
        <w:t xml:space="preserve"> sigue</w:t>
      </w:r>
      <w:r w:rsidR="001910EB">
        <w:t>n</w:t>
      </w:r>
      <w:r w:rsidRPr="00E075EF">
        <w:t xml:space="preserve"> </w:t>
      </w:r>
      <w:r w:rsidR="001910EB">
        <w:t>manteniendo</w:t>
      </w:r>
      <w:r w:rsidR="00E075EF">
        <w:t xml:space="preserve"> sus índices y estándar</w:t>
      </w:r>
      <w:r w:rsidR="001910EB">
        <w:t>es</w:t>
      </w:r>
      <w:r w:rsidR="00E075EF">
        <w:t xml:space="preserve"> de</w:t>
      </w:r>
      <w:r w:rsidRPr="00E075EF">
        <w:t xml:space="preserve"> cobertura, </w:t>
      </w:r>
      <w:r w:rsidR="001910EB">
        <w:t xml:space="preserve">las </w:t>
      </w:r>
      <w:r w:rsidRPr="00E075EF">
        <w:t>acciones de prevención, servicios y prestaciones. Por otro,</w:t>
      </w:r>
      <w:r w:rsidR="001910EB">
        <w:t xml:space="preserve"> sin embargo,</w:t>
      </w:r>
      <w:r w:rsidRPr="00E075EF">
        <w:t xml:space="preserve"> no termina de cerrar</w:t>
      </w:r>
      <w:r w:rsidR="003F795C">
        <w:t>se</w:t>
      </w:r>
      <w:r w:rsidRPr="00E075EF">
        <w:t xml:space="preserve"> el peligroso capítulo de la litigiosidad que</w:t>
      </w:r>
      <w:r w:rsidR="001910EB">
        <w:t>,</w:t>
      </w:r>
      <w:r w:rsidRPr="00E075EF">
        <w:t xml:space="preserve"> en 2018</w:t>
      </w:r>
      <w:r w:rsidR="001910EB">
        <w:t>,</w:t>
      </w:r>
      <w:r w:rsidRPr="00E075EF">
        <w:t xml:space="preserve"> </w:t>
      </w:r>
      <w:r w:rsidR="00E075EF" w:rsidRPr="00E075EF">
        <w:t>parecí</w:t>
      </w:r>
      <w:r w:rsidR="00E075EF">
        <w:t>a</w:t>
      </w:r>
      <w:r w:rsidR="00E075EF" w:rsidRPr="00E075EF">
        <w:t xml:space="preserve"> </w:t>
      </w:r>
      <w:r w:rsidRPr="00E075EF">
        <w:t xml:space="preserve">haber entrado </w:t>
      </w:r>
      <w:r w:rsidR="001910EB">
        <w:t>e</w:t>
      </w:r>
      <w:r w:rsidRPr="00E075EF">
        <w:t xml:space="preserve">n cauce de resolución. </w:t>
      </w:r>
    </w:p>
    <w:p w:rsidR="001E7CE9" w:rsidRPr="001910EB" w:rsidRDefault="001910EB">
      <w:pPr>
        <w:rPr>
          <w:b/>
        </w:rPr>
      </w:pPr>
      <w:r w:rsidRPr="001910EB">
        <w:rPr>
          <w:b/>
        </w:rPr>
        <w:t>Gestión.</w:t>
      </w:r>
      <w:r>
        <w:t xml:space="preserve"> </w:t>
      </w:r>
      <w:r w:rsidR="001E7CE9" w:rsidRPr="00E075EF">
        <w:t>Respecto de los datos de gestión, 2019 encontró</w:t>
      </w:r>
      <w:r>
        <w:t xml:space="preserve"> a las aseguradoras</w:t>
      </w:r>
      <w:r w:rsidR="001E7CE9" w:rsidRPr="00E075EF">
        <w:t xml:space="preserve"> cubriendo a casi 10 millones de trabajadores que se desempeñan en </w:t>
      </w:r>
      <w:r w:rsidR="00624D97">
        <w:t>1 millón de empresas</w:t>
      </w:r>
      <w:r w:rsidR="001E7CE9" w:rsidRPr="00E075EF">
        <w:t>.  En este complejo y diverso universo</w:t>
      </w:r>
      <w:r w:rsidR="00AF634D">
        <w:t>,</w:t>
      </w:r>
      <w:r w:rsidR="001E7CE9" w:rsidRPr="00E075EF">
        <w:t xml:space="preserve"> las acciones de prevención</w:t>
      </w:r>
      <w:r w:rsidR="00E075EF">
        <w:t>,</w:t>
      </w:r>
      <w:r w:rsidR="001E7CE9" w:rsidRPr="00E075EF">
        <w:t xml:space="preserve"> permitieron seguir disminuyendo la cantidad de siniestros. De hecho</w:t>
      </w:r>
      <w:r w:rsidR="003F795C">
        <w:t>,</w:t>
      </w:r>
      <w:r w:rsidR="001E7CE9" w:rsidRPr="00E075EF">
        <w:t xml:space="preserve"> los fallecimientos, desde el inicio del sistema, bajaron un 76% </w:t>
      </w:r>
      <w:r w:rsidR="00FF59B7">
        <w:t xml:space="preserve">considerando aquellos ocurridos en el lugar del trabajo </w:t>
      </w:r>
      <w:r w:rsidR="001E7CE9" w:rsidRPr="00E075EF">
        <w:t xml:space="preserve">y 71% si se consideran los </w:t>
      </w:r>
      <w:r w:rsidR="00FF59B7">
        <w:t xml:space="preserve">accidentes </w:t>
      </w:r>
      <w:r w:rsidR="001E7CE9" w:rsidRPr="00E075EF">
        <w:t>in itinere. Esto va más allá de ser un simple porcentaje de gestión</w:t>
      </w:r>
      <w:r w:rsidR="008A6F02" w:rsidRPr="00E075EF">
        <w:t xml:space="preserve"> y no es un dato menor</w:t>
      </w:r>
      <w:r w:rsidR="001E7CE9" w:rsidRPr="00E075EF">
        <w:t xml:space="preserve">. </w:t>
      </w:r>
      <w:r w:rsidR="008A6F02" w:rsidRPr="001910EB">
        <w:rPr>
          <w:b/>
        </w:rPr>
        <w:t>Significa 1</w:t>
      </w:r>
      <w:r w:rsidR="00F32C10">
        <w:rPr>
          <w:b/>
        </w:rPr>
        <w:t>3</w:t>
      </w:r>
      <w:r w:rsidR="008A6F02" w:rsidRPr="001910EB">
        <w:rPr>
          <w:b/>
        </w:rPr>
        <w:t xml:space="preserve"> mil vidas salvadas en este período por la acción combinada de empleadores, trabajadores, aseguradores y el Estado.</w:t>
      </w:r>
      <w:r w:rsidR="001E7CE9" w:rsidRPr="001910EB">
        <w:rPr>
          <w:b/>
        </w:rPr>
        <w:t xml:space="preserve"> </w:t>
      </w:r>
    </w:p>
    <w:p w:rsidR="008A6F02" w:rsidRPr="00E075EF" w:rsidRDefault="001910EB">
      <w:r>
        <w:t>Cabe agregar que el sistema argentino en comparación con otros semejantes como el de Chile o el de España</w:t>
      </w:r>
      <w:r w:rsidR="00E075EF">
        <w:t xml:space="preserve"> </w:t>
      </w:r>
      <w:r w:rsidR="009A21E8">
        <w:t xml:space="preserve">ofrece </w:t>
      </w:r>
      <w:r>
        <w:t xml:space="preserve">mayores resarcimientos. Reconoce el pago del 100% del salario durante las incapacidades laborales temporarias, mientras que en </w:t>
      </w:r>
      <w:r w:rsidR="008A6F02" w:rsidRPr="00E075EF">
        <w:t xml:space="preserve">España </w:t>
      </w:r>
      <w:r>
        <w:t>solo se cubre</w:t>
      </w:r>
      <w:r w:rsidR="008A6F02" w:rsidRPr="00E075EF">
        <w:t xml:space="preserve"> 75%. Asimismo</w:t>
      </w:r>
      <w:r w:rsidR="00E075EF">
        <w:t>,</w:t>
      </w:r>
      <w:r>
        <w:t xml:space="preserve"> ese país</w:t>
      </w:r>
      <w:r w:rsidR="008A6F02" w:rsidRPr="00E075EF">
        <w:t xml:space="preserve"> indemniza solo incapacidades superiores al 33%</w:t>
      </w:r>
      <w:r w:rsidR="00E075EF">
        <w:t xml:space="preserve"> y Chile al 15%, mientras que aquí la cobertura es total, sin exclusiones de ningún tipo. </w:t>
      </w:r>
      <w:r w:rsidR="008A6F02" w:rsidRPr="00E075EF">
        <w:t xml:space="preserve">Sin embargo, a pesar de contar con estos </w:t>
      </w:r>
      <w:r w:rsidR="003F795C">
        <w:t>claros</w:t>
      </w:r>
      <w:r w:rsidR="008A6F02" w:rsidRPr="00E075EF">
        <w:t xml:space="preserve"> beneficios, </w:t>
      </w:r>
      <w:r w:rsidR="008A6F02" w:rsidRPr="001910EB">
        <w:rPr>
          <w:b/>
        </w:rPr>
        <w:t xml:space="preserve">el índice de litigiosidad en nuestro país supera ampliamente </w:t>
      </w:r>
      <w:r w:rsidR="00D35943" w:rsidRPr="001910EB">
        <w:rPr>
          <w:b/>
        </w:rPr>
        <w:t>a los otros dos</w:t>
      </w:r>
      <w:r w:rsidR="008A6F02" w:rsidRPr="001910EB">
        <w:rPr>
          <w:b/>
        </w:rPr>
        <w:t>.</w:t>
      </w:r>
      <w:r w:rsidR="00D35943">
        <w:t xml:space="preserve"> Este dato debería llevarnos a la reflexión </w:t>
      </w:r>
      <w:r w:rsidR="009A21E8">
        <w:t xml:space="preserve">de </w:t>
      </w:r>
      <w:r w:rsidR="00D35943">
        <w:t xml:space="preserve">la incongruencia de cobertura más amplia </w:t>
      </w:r>
      <w:r w:rsidR="009A21E8">
        <w:t xml:space="preserve">trae aparejadas </w:t>
      </w:r>
      <w:r w:rsidR="00D35943">
        <w:t xml:space="preserve">más </w:t>
      </w:r>
      <w:r>
        <w:t>demandas</w:t>
      </w:r>
      <w:r w:rsidR="00D35943">
        <w:t>.</w:t>
      </w:r>
    </w:p>
    <w:p w:rsidR="00B8398B" w:rsidRPr="00E075EF" w:rsidRDefault="001910EB">
      <w:r w:rsidRPr="001910EB">
        <w:rPr>
          <w:b/>
        </w:rPr>
        <w:t>Juicios.</w:t>
      </w:r>
      <w:r>
        <w:t xml:space="preserve"> </w:t>
      </w:r>
      <w:r w:rsidR="002E09D8" w:rsidRPr="00E075EF">
        <w:t xml:space="preserve">En tal sentido, en cuanto a </w:t>
      </w:r>
      <w:r w:rsidR="003F795C">
        <w:t>nuevo</w:t>
      </w:r>
      <w:r w:rsidR="00D35943">
        <w:t xml:space="preserve">s </w:t>
      </w:r>
      <w:r w:rsidR="003F795C">
        <w:t>reclamos judiciales</w:t>
      </w:r>
      <w:r w:rsidR="002E09D8" w:rsidRPr="00E075EF">
        <w:t xml:space="preserve">, 2019 comenzó con buenas expectativas. En 2017 se había alcanzado la friolera de 130.000. La sanción de la nueva ley permitió reducir ese número a 80 mil en 2018. Y </w:t>
      </w:r>
      <w:r w:rsidR="00D35943">
        <w:t xml:space="preserve">se esperaba </w:t>
      </w:r>
      <w:r w:rsidR="002E09D8" w:rsidRPr="00E075EF">
        <w:t xml:space="preserve">que esa tendencia descendente </w:t>
      </w:r>
      <w:r w:rsidR="00523EBD">
        <w:t xml:space="preserve">se </w:t>
      </w:r>
      <w:r w:rsidR="003F795C">
        <w:t>mantuviera</w:t>
      </w:r>
      <w:r w:rsidR="002E09D8" w:rsidRPr="00E075EF">
        <w:t xml:space="preserve">. Pero, lamentablemente </w:t>
      </w:r>
      <w:r w:rsidR="0088230B">
        <w:t xml:space="preserve">hacia </w:t>
      </w:r>
      <w:r w:rsidR="002E09D8" w:rsidRPr="00E075EF">
        <w:t>mitad de año comenz</w:t>
      </w:r>
      <w:r w:rsidR="00D35943">
        <w:t>ó</w:t>
      </w:r>
      <w:r w:rsidR="002E09D8" w:rsidRPr="00E075EF">
        <w:t xml:space="preserve"> </w:t>
      </w:r>
      <w:r w:rsidR="0088230B">
        <w:t xml:space="preserve">a hacerse más visible </w:t>
      </w:r>
      <w:r w:rsidR="002E09D8" w:rsidRPr="00E075EF">
        <w:t>una</w:t>
      </w:r>
      <w:r w:rsidR="00B8398B" w:rsidRPr="00E075EF">
        <w:t xml:space="preserve"> reversión que</w:t>
      </w:r>
      <w:r w:rsidR="00593750">
        <w:t xml:space="preserve">, </w:t>
      </w:r>
      <w:r w:rsidR="00B8398B" w:rsidRPr="00E075EF">
        <w:t>con el correr de los meses</w:t>
      </w:r>
      <w:r w:rsidR="00593750">
        <w:t>,</w:t>
      </w:r>
      <w:r w:rsidR="00B8398B" w:rsidRPr="00E075EF">
        <w:t xml:space="preserve"> se fue consolidando</w:t>
      </w:r>
      <w:r w:rsidR="00D32A73">
        <w:t xml:space="preserve"> en algunas</w:t>
      </w:r>
      <w:r w:rsidR="00B8398B" w:rsidRPr="00E075EF">
        <w:t xml:space="preserve">. </w:t>
      </w:r>
    </w:p>
    <w:p w:rsidR="00B8398B" w:rsidRDefault="00B8398B" w:rsidP="00B8398B">
      <w:pPr>
        <w:jc w:val="both"/>
        <w:rPr>
          <w:b/>
          <w:lang w:val="es-ES"/>
        </w:rPr>
      </w:pPr>
      <w:r w:rsidRPr="00E075EF">
        <w:rPr>
          <w:lang w:val="es-ES"/>
        </w:rPr>
        <w:t xml:space="preserve">En el mes de noviembre/19 se notificaron a las ART </w:t>
      </w:r>
      <w:r w:rsidRPr="00523EBD">
        <w:rPr>
          <w:b/>
          <w:lang w:val="es-ES"/>
        </w:rPr>
        <w:t>6.421 juicios, acumulando 62.132</w:t>
      </w:r>
      <w:r w:rsidR="00523EBD">
        <w:rPr>
          <w:lang w:val="es-ES"/>
        </w:rPr>
        <w:t xml:space="preserve"> nuevos juicios en el año, representan respectivamente </w:t>
      </w:r>
      <w:r w:rsidRPr="00E075EF">
        <w:rPr>
          <w:lang w:val="es-ES"/>
        </w:rPr>
        <w:t xml:space="preserve">un aumento del 6,1% </w:t>
      </w:r>
      <w:r w:rsidR="00523EBD">
        <w:rPr>
          <w:lang w:val="es-ES"/>
        </w:rPr>
        <w:t>contra n</w:t>
      </w:r>
      <w:r w:rsidRPr="00E075EF">
        <w:rPr>
          <w:lang w:val="es-ES"/>
        </w:rPr>
        <w:t>oviembre/18 (6.054 juicios) y una c</w:t>
      </w:r>
      <w:r w:rsidR="00523EBD">
        <w:rPr>
          <w:lang w:val="es-ES"/>
        </w:rPr>
        <w:t>aída de solo 17,0 % en cuanto a</w:t>
      </w:r>
      <w:r w:rsidRPr="00E075EF">
        <w:rPr>
          <w:lang w:val="es-ES"/>
        </w:rPr>
        <w:t xml:space="preserve">l acumulado </w:t>
      </w:r>
      <w:r w:rsidR="00523EBD">
        <w:rPr>
          <w:lang w:val="es-ES"/>
        </w:rPr>
        <w:t>de</w:t>
      </w:r>
      <w:r w:rsidRPr="00E075EF">
        <w:rPr>
          <w:lang w:val="es-ES"/>
        </w:rPr>
        <w:t xml:space="preserve"> los primeros once meses del año 2018 (74.878 juicios). </w:t>
      </w:r>
      <w:r w:rsidRPr="003F795C">
        <w:rPr>
          <w:b/>
          <w:lang w:val="es-ES"/>
        </w:rPr>
        <w:t xml:space="preserve">Cifras que marcan </w:t>
      </w:r>
      <w:r w:rsidR="006E5D2E">
        <w:rPr>
          <w:b/>
          <w:lang w:val="es-ES"/>
        </w:rPr>
        <w:t xml:space="preserve">un claro cambio </w:t>
      </w:r>
      <w:r w:rsidR="000F4205">
        <w:rPr>
          <w:b/>
          <w:lang w:val="es-ES"/>
        </w:rPr>
        <w:t xml:space="preserve">de </w:t>
      </w:r>
      <w:r w:rsidRPr="003F795C">
        <w:rPr>
          <w:b/>
          <w:lang w:val="es-ES"/>
        </w:rPr>
        <w:t>la tendencia</w:t>
      </w:r>
      <w:r w:rsidR="00523EBD" w:rsidRPr="003F795C">
        <w:rPr>
          <w:b/>
          <w:lang w:val="es-ES"/>
        </w:rPr>
        <w:t xml:space="preserve"> a la disminución de la litigiosidad</w:t>
      </w:r>
      <w:r w:rsidRPr="0084064E">
        <w:rPr>
          <w:b/>
          <w:lang w:val="es-ES"/>
        </w:rPr>
        <w:t>.</w:t>
      </w:r>
      <w:r w:rsidR="004B55FA" w:rsidRPr="0084064E">
        <w:rPr>
          <w:b/>
          <w:lang w:val="es-ES"/>
        </w:rPr>
        <w:t xml:space="preserve"> </w:t>
      </w:r>
      <w:r w:rsidR="0084064E">
        <w:rPr>
          <w:b/>
          <w:lang w:val="es-ES"/>
        </w:rPr>
        <w:t>En efecto,</w:t>
      </w:r>
      <w:r w:rsidR="004B55FA" w:rsidRPr="0084064E">
        <w:rPr>
          <w:b/>
          <w:lang w:val="es-ES"/>
        </w:rPr>
        <w:t xml:space="preserve"> en septiembre + 11%  y en octubre + 4%. El estimado de diciembre también confirmaría el movimiento al alza.</w:t>
      </w:r>
    </w:p>
    <w:p w:rsidR="00523EBD" w:rsidRDefault="004401BC" w:rsidP="00523EBD">
      <w:pPr>
        <w:jc w:val="both"/>
        <w:rPr>
          <w:lang w:val="es-ES"/>
        </w:rPr>
      </w:pPr>
      <w:r>
        <w:rPr>
          <w:lang w:val="es-ES"/>
        </w:rPr>
        <w:t xml:space="preserve">Para mostrar la reversión se adjunta el </w:t>
      </w:r>
      <w:r w:rsidR="0026566C">
        <w:rPr>
          <w:lang w:val="es-ES"/>
        </w:rPr>
        <w:t>gráfico</w:t>
      </w:r>
      <w:r>
        <w:rPr>
          <w:lang w:val="es-ES"/>
        </w:rPr>
        <w:t xml:space="preserve"> en el que se </w:t>
      </w:r>
      <w:r w:rsidR="004B55FA">
        <w:rPr>
          <w:lang w:val="es-ES"/>
        </w:rPr>
        <w:t>contrasta</w:t>
      </w:r>
      <w:r>
        <w:rPr>
          <w:lang w:val="es-ES"/>
        </w:rPr>
        <w:t xml:space="preserve"> la variación de cada mes respecto </w:t>
      </w:r>
      <w:r w:rsidR="004B55FA">
        <w:rPr>
          <w:lang w:val="es-ES"/>
        </w:rPr>
        <w:t>de igual período</w:t>
      </w:r>
      <w:r>
        <w:rPr>
          <w:lang w:val="es-ES"/>
        </w:rPr>
        <w:t xml:space="preserve"> del año anterior en cada caso.</w:t>
      </w:r>
    </w:p>
    <w:p w:rsidR="004401BC" w:rsidRPr="00185716" w:rsidRDefault="00185716" w:rsidP="00863DB2">
      <w:pPr>
        <w:jc w:val="both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6587965" cy="43030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36" cy="430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009" w:rsidRDefault="00863DB2" w:rsidP="00863DB2">
      <w:pPr>
        <w:jc w:val="both"/>
        <w:rPr>
          <w:lang w:val="es-ES"/>
        </w:rPr>
      </w:pPr>
      <w:r w:rsidRPr="00E075EF">
        <w:rPr>
          <w:lang w:val="es-ES"/>
        </w:rPr>
        <w:t xml:space="preserve">En </w:t>
      </w:r>
      <w:r w:rsidR="008B630A">
        <w:rPr>
          <w:lang w:val="es-ES"/>
        </w:rPr>
        <w:t>los primeros 11 meses del año se acumularon</w:t>
      </w:r>
      <w:r w:rsidRPr="00E075EF">
        <w:rPr>
          <w:lang w:val="es-ES"/>
        </w:rPr>
        <w:t xml:space="preserve"> 62</w:t>
      </w:r>
      <w:r w:rsidR="00AF634D">
        <w:rPr>
          <w:lang w:val="es-ES"/>
        </w:rPr>
        <w:t>.</w:t>
      </w:r>
      <w:r w:rsidRPr="00E075EF">
        <w:rPr>
          <w:lang w:val="es-ES"/>
        </w:rPr>
        <w:t>132</w:t>
      </w:r>
      <w:r w:rsidR="008B630A">
        <w:rPr>
          <w:lang w:val="es-ES"/>
        </w:rPr>
        <w:t xml:space="preserve"> nuevos juicios, un número sumamente elevado</w:t>
      </w:r>
      <w:r w:rsidRPr="00E075EF">
        <w:rPr>
          <w:lang w:val="es-ES"/>
        </w:rPr>
        <w:t xml:space="preserve">. </w:t>
      </w:r>
      <w:r w:rsidR="008B630A">
        <w:rPr>
          <w:lang w:val="es-ES"/>
        </w:rPr>
        <w:t>E</w:t>
      </w:r>
      <w:r w:rsidRPr="00E075EF">
        <w:rPr>
          <w:lang w:val="es-ES"/>
        </w:rPr>
        <w:t xml:space="preserve">l estimado para diciembre </w:t>
      </w:r>
      <w:r w:rsidR="007C7009">
        <w:rPr>
          <w:lang w:val="es-ES"/>
        </w:rPr>
        <w:t>l</w:t>
      </w:r>
      <w:r w:rsidRPr="00E075EF">
        <w:rPr>
          <w:lang w:val="es-ES"/>
        </w:rPr>
        <w:t xml:space="preserve">levaría </w:t>
      </w:r>
      <w:r w:rsidR="008B630A">
        <w:rPr>
          <w:lang w:val="es-ES"/>
        </w:rPr>
        <w:t xml:space="preserve">esta cifra </w:t>
      </w:r>
      <w:r w:rsidR="008B630A" w:rsidRPr="00600FA6">
        <w:rPr>
          <w:lang w:val="es-ES"/>
        </w:rPr>
        <w:t>a</w:t>
      </w:r>
      <w:r w:rsidRPr="00600FA6">
        <w:rPr>
          <w:lang w:val="es-ES"/>
        </w:rPr>
        <w:t xml:space="preserve"> </w:t>
      </w:r>
      <w:r w:rsidR="00600FA6" w:rsidRPr="00600FA6">
        <w:rPr>
          <w:lang w:val="es-ES"/>
        </w:rPr>
        <w:t>68.000</w:t>
      </w:r>
      <w:r w:rsidR="00A476F9" w:rsidRPr="00600FA6">
        <w:rPr>
          <w:lang w:val="es-ES"/>
        </w:rPr>
        <w:t xml:space="preserve">. </w:t>
      </w:r>
      <w:r w:rsidR="004E2AAF">
        <w:rPr>
          <w:lang w:val="es-ES"/>
        </w:rPr>
        <w:t>Los datos expuestos</w:t>
      </w:r>
      <w:r w:rsidR="00A476F9" w:rsidRPr="00E075EF">
        <w:rPr>
          <w:lang w:val="es-ES"/>
        </w:rPr>
        <w:t xml:space="preserve"> nos alertan respecto </w:t>
      </w:r>
      <w:r w:rsidR="008B630A">
        <w:rPr>
          <w:lang w:val="es-ES"/>
        </w:rPr>
        <w:t xml:space="preserve">de una clara reversión: </w:t>
      </w:r>
      <w:r w:rsidR="008B630A" w:rsidRPr="00AF634D">
        <w:rPr>
          <w:b/>
          <w:lang w:val="es-ES"/>
        </w:rPr>
        <w:t>las demandas ha</w:t>
      </w:r>
      <w:r w:rsidR="007C7009" w:rsidRPr="00AF634D">
        <w:rPr>
          <w:b/>
          <w:lang w:val="es-ES"/>
        </w:rPr>
        <w:t>bría</w:t>
      </w:r>
      <w:r w:rsidR="008B630A" w:rsidRPr="00AF634D">
        <w:rPr>
          <w:b/>
          <w:lang w:val="es-ES"/>
        </w:rPr>
        <w:t xml:space="preserve">n encontrado su piso en </w:t>
      </w:r>
      <w:r w:rsidR="00A40859">
        <w:rPr>
          <w:b/>
          <w:lang w:val="es-ES"/>
        </w:rPr>
        <w:t>junio</w:t>
      </w:r>
      <w:r w:rsidR="008B630A" w:rsidRPr="00AF634D">
        <w:rPr>
          <w:b/>
          <w:lang w:val="es-ES"/>
        </w:rPr>
        <w:t xml:space="preserve">, período a partir del cual comenzaron a </w:t>
      </w:r>
      <w:r w:rsidR="00700061">
        <w:rPr>
          <w:b/>
          <w:lang w:val="es-ES"/>
        </w:rPr>
        <w:t>repuntar</w:t>
      </w:r>
      <w:r w:rsidR="008B630A" w:rsidRPr="00AF634D">
        <w:rPr>
          <w:b/>
          <w:lang w:val="es-ES"/>
        </w:rPr>
        <w:t>.</w:t>
      </w:r>
      <w:r w:rsidR="00A476F9" w:rsidRPr="00E075EF">
        <w:rPr>
          <w:lang w:val="es-ES"/>
        </w:rPr>
        <w:t xml:space="preserve"> </w:t>
      </w:r>
    </w:p>
    <w:p w:rsidR="008F14C0" w:rsidRPr="0097049D" w:rsidRDefault="00260575" w:rsidP="00E672CD">
      <w:pPr>
        <w:jc w:val="center"/>
        <w:rPr>
          <w:lang w:val="es-ES"/>
        </w:rPr>
      </w:pPr>
      <w:r>
        <w:rPr>
          <w:noProof/>
        </w:rPr>
      </w:r>
      <w:r w:rsidRPr="00260575">
        <w:rPr>
          <w:noProof/>
        </w:rPr>
        <w:pict>
          <v:group id="5 Grupo" o:spid="_x0000_s1026" style="width:454.4pt;height:297.35pt;mso-position-horizontal-relative:char;mso-position-vertical-relative:line" coordsize="64948,396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4 Imagen" o:spid="_x0000_s1027" type="#_x0000_t75" style="position:absolute;width:60769;height:396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bonCAAAA2gAAAA8AAABkcnMvZG93bnJldi54bWxEj0FrAjEUhO8F/0N4greatdBSVqOIaJVe&#10;SlX2/Ng8k8XNy5qkuv57Uyj0OMzMN8xs0btWXCnExrOCybgAQVx73bBRcDxsnt9BxISssfVMCu4U&#10;YTEfPM2w1P7G33TdJyMyhGOJCmxKXSllrC05jGPfEWfv5IPDlGUwUge8Zbhr5UtRvEmHDecFix2t&#10;LNXn/Y9T8LW8mFB9xvVmi1s7aT/WpqqOSo2G/XIKIlGf/sN/7Z1W8Aq/V/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UG6JwgAAANoAAAAPAAAAAAAAAAAAAAAAAJ8C&#10;AABkcnMvZG93bnJldi54bWxQSwUGAAAAAAQABAD3AAAAjgMAAAAA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Texto" o:spid="_x0000_s1028" type="#_x0000_t202" style="position:absolute;left:59908;top:20478;width:5040;height:4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8C70B7" w:rsidRDefault="008C70B7" w:rsidP="008C70B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C00000"/>
                        <w:kern w:val="24"/>
                        <w:sz w:val="44"/>
                        <w:szCs w:val="44"/>
                        <w:lang w:val="es-ES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14C0" w:rsidRDefault="008F14C0" w:rsidP="00863DB2">
      <w:pPr>
        <w:jc w:val="both"/>
        <w:rPr>
          <w:lang w:val="es-ES"/>
        </w:rPr>
      </w:pPr>
    </w:p>
    <w:p w:rsidR="00A476F9" w:rsidRPr="003F795C" w:rsidRDefault="007C7009" w:rsidP="00A476F9">
      <w:pPr>
        <w:jc w:val="both"/>
      </w:pPr>
      <w:r w:rsidRPr="007C7009">
        <w:rPr>
          <w:b/>
          <w:lang w:val="es-ES"/>
        </w:rPr>
        <w:t xml:space="preserve">Solución. </w:t>
      </w:r>
      <w:r w:rsidR="008B630A" w:rsidRPr="0084064E">
        <w:rPr>
          <w:b/>
          <w:lang w:val="es-ES"/>
        </w:rPr>
        <w:t>Este dato contundente</w:t>
      </w:r>
      <w:r w:rsidR="00A476F9" w:rsidRPr="0084064E">
        <w:rPr>
          <w:b/>
          <w:lang w:val="es-ES"/>
        </w:rPr>
        <w:t xml:space="preserve"> refuerza claramente la necesidad de </w:t>
      </w:r>
      <w:r w:rsidR="00920245" w:rsidRPr="0084064E">
        <w:rPr>
          <w:b/>
          <w:lang w:val="es-ES"/>
        </w:rPr>
        <w:t xml:space="preserve">completar </w:t>
      </w:r>
      <w:r w:rsidR="00A476F9" w:rsidRPr="0084064E">
        <w:rPr>
          <w:b/>
          <w:lang w:val="es-ES"/>
        </w:rPr>
        <w:t xml:space="preserve">el </w:t>
      </w:r>
      <w:r w:rsidR="00920245" w:rsidRPr="0084064E">
        <w:rPr>
          <w:b/>
          <w:lang w:val="es-ES"/>
        </w:rPr>
        <w:t>cumplimiento de lo previsto en la</w:t>
      </w:r>
      <w:r w:rsidR="00A476F9" w:rsidRPr="0084064E">
        <w:rPr>
          <w:b/>
          <w:lang w:val="es-ES"/>
        </w:rPr>
        <w:t xml:space="preserve"> Ley 27</w:t>
      </w:r>
      <w:r w:rsidR="00920245" w:rsidRPr="0084064E">
        <w:rPr>
          <w:b/>
          <w:lang w:val="es-ES"/>
        </w:rPr>
        <w:t>.</w:t>
      </w:r>
      <w:r w:rsidR="00A476F9" w:rsidRPr="0084064E">
        <w:rPr>
          <w:b/>
          <w:lang w:val="es-ES"/>
        </w:rPr>
        <w:t xml:space="preserve">348 </w:t>
      </w:r>
      <w:r w:rsidR="00920245" w:rsidRPr="0084064E">
        <w:rPr>
          <w:b/>
          <w:lang w:val="es-ES"/>
        </w:rPr>
        <w:t>a través de</w:t>
      </w:r>
      <w:r w:rsidR="00A476F9" w:rsidRPr="0084064E">
        <w:rPr>
          <w:b/>
          <w:lang w:val="es-ES"/>
        </w:rPr>
        <w:t xml:space="preserve"> la constitución inmediata de los</w:t>
      </w:r>
      <w:r w:rsidR="00A476F9" w:rsidRPr="00E075EF">
        <w:rPr>
          <w:lang w:val="es-ES"/>
        </w:rPr>
        <w:t xml:space="preserve"> </w:t>
      </w:r>
      <w:r w:rsidR="00A476F9" w:rsidRPr="004E2AAF">
        <w:rPr>
          <w:b/>
          <w:lang w:val="es-ES"/>
        </w:rPr>
        <w:t>Cuerpos Médicos Forenses</w:t>
      </w:r>
      <w:r w:rsidR="000740CD">
        <w:rPr>
          <w:b/>
          <w:lang w:val="es-ES"/>
        </w:rPr>
        <w:t xml:space="preserve"> (CMF)</w:t>
      </w:r>
      <w:r w:rsidR="00AF634D">
        <w:rPr>
          <w:b/>
          <w:lang w:val="es-ES"/>
        </w:rPr>
        <w:t>,</w:t>
      </w:r>
      <w:r w:rsidR="00A476F9" w:rsidRPr="00E075EF">
        <w:rPr>
          <w:lang w:val="es-ES"/>
        </w:rPr>
        <w:t xml:space="preserve"> en cada una de las justicias de las</w:t>
      </w:r>
      <w:r>
        <w:rPr>
          <w:lang w:val="es-ES"/>
        </w:rPr>
        <w:t xml:space="preserve"> 15</w:t>
      </w:r>
      <w:r w:rsidR="00A476F9" w:rsidRPr="00E075EF">
        <w:rPr>
          <w:lang w:val="es-ES"/>
        </w:rPr>
        <w:t xml:space="preserve"> provincias adheridas</w:t>
      </w:r>
      <w:r>
        <w:rPr>
          <w:lang w:val="es-ES"/>
        </w:rPr>
        <w:t xml:space="preserve"> a la Ley</w:t>
      </w:r>
      <w:r w:rsidR="00A476F9" w:rsidRPr="00E075EF">
        <w:rPr>
          <w:lang w:val="es-ES"/>
        </w:rPr>
        <w:t xml:space="preserve">. </w:t>
      </w:r>
      <w:r w:rsidR="00A476F9" w:rsidRPr="00E075EF">
        <w:rPr>
          <w:b/>
        </w:rPr>
        <w:t>Este eslabón faltante</w:t>
      </w:r>
      <w:r>
        <w:rPr>
          <w:b/>
        </w:rPr>
        <w:t>,</w:t>
      </w:r>
      <w:r w:rsidR="00A476F9" w:rsidRPr="00E075EF">
        <w:rPr>
          <w:b/>
        </w:rPr>
        <w:t xml:space="preserve"> </w:t>
      </w:r>
      <w:r w:rsidR="00920245">
        <w:rPr>
          <w:b/>
        </w:rPr>
        <w:t>previsto en</w:t>
      </w:r>
      <w:r w:rsidR="004E2AAF" w:rsidRPr="00E075EF">
        <w:rPr>
          <w:b/>
        </w:rPr>
        <w:t xml:space="preserve"> la reforma </w:t>
      </w:r>
      <w:r w:rsidR="00A476F9" w:rsidRPr="00E075EF">
        <w:rPr>
          <w:b/>
        </w:rPr>
        <w:t xml:space="preserve">para consolidar </w:t>
      </w:r>
      <w:r w:rsidR="00920245">
        <w:rPr>
          <w:b/>
        </w:rPr>
        <w:t>el camino recorrido de baja de litigiosidad</w:t>
      </w:r>
      <w:r w:rsidR="00A476F9" w:rsidRPr="00E075EF">
        <w:rPr>
          <w:b/>
        </w:rPr>
        <w:t xml:space="preserve">, </w:t>
      </w:r>
      <w:r w:rsidR="000740CD">
        <w:rPr>
          <w:b/>
        </w:rPr>
        <w:t>reabre</w:t>
      </w:r>
      <w:r w:rsidR="00A476F9" w:rsidRPr="00E075EF">
        <w:rPr>
          <w:b/>
        </w:rPr>
        <w:t xml:space="preserve"> la puerta al r</w:t>
      </w:r>
      <w:bookmarkStart w:id="0" w:name="_GoBack"/>
      <w:bookmarkEnd w:id="0"/>
      <w:r w:rsidR="00A476F9" w:rsidRPr="00E075EF">
        <w:rPr>
          <w:b/>
        </w:rPr>
        <w:t xml:space="preserve">etorno de la litigiosidad exacerbada. </w:t>
      </w:r>
      <w:r w:rsidR="00E376D6">
        <w:t>La</w:t>
      </w:r>
      <w:r w:rsidR="000740CD">
        <w:t xml:space="preserve"> no constitución </w:t>
      </w:r>
      <w:r w:rsidR="00E376D6">
        <w:t xml:space="preserve">de los </w:t>
      </w:r>
      <w:proofErr w:type="spellStart"/>
      <w:r w:rsidR="00E376D6">
        <w:t>CMFs</w:t>
      </w:r>
      <w:proofErr w:type="spellEnd"/>
      <w:r w:rsidR="00E376D6">
        <w:t xml:space="preserve"> </w:t>
      </w:r>
      <w:r w:rsidR="000740CD">
        <w:t>implica que</w:t>
      </w:r>
      <w:r w:rsidR="00A476F9" w:rsidRPr="003F795C">
        <w:t xml:space="preserve"> el mecanismo pericial sigue con honorarios acoplados a los montos de las sentencias </w:t>
      </w:r>
      <w:r w:rsidR="000740CD">
        <w:t>(</w:t>
      </w:r>
      <w:r w:rsidR="003606FC">
        <w:t>contundente</w:t>
      </w:r>
      <w:r w:rsidR="00A476F9" w:rsidRPr="003F795C">
        <w:t xml:space="preserve"> incentivo a sobreestimar daños</w:t>
      </w:r>
      <w:r w:rsidR="000740CD">
        <w:t>)</w:t>
      </w:r>
      <w:r w:rsidR="00A476F9" w:rsidRPr="003F795C">
        <w:t xml:space="preserve"> y sin </w:t>
      </w:r>
      <w:r w:rsidR="00E376D6">
        <w:t xml:space="preserve">la utilización </w:t>
      </w:r>
      <w:r w:rsidR="003606FC">
        <w:t>o una utilización incorrecta</w:t>
      </w:r>
      <w:r w:rsidR="00E376D6">
        <w:t xml:space="preserve"> del</w:t>
      </w:r>
      <w:r w:rsidR="00A476F9" w:rsidRPr="003F795C">
        <w:t xml:space="preserve"> Baremo (tabla de </w:t>
      </w:r>
      <w:r w:rsidR="003606FC">
        <w:t xml:space="preserve">Porcentajes de </w:t>
      </w:r>
      <w:r w:rsidR="00A476F9" w:rsidRPr="003F795C">
        <w:t xml:space="preserve">incapacidades). Esta dilación constituye </w:t>
      </w:r>
      <w:r w:rsidR="003F795C">
        <w:t>una vía directa</w:t>
      </w:r>
      <w:r w:rsidR="00A476F9" w:rsidRPr="003F795C">
        <w:t xml:space="preserve"> al aumento d</w:t>
      </w:r>
      <w:r w:rsidR="003F795C">
        <w:t>e la litigiosidad. Permite no só</w:t>
      </w:r>
      <w:r w:rsidR="00A476F9" w:rsidRPr="003F795C">
        <w:t>lo el crecimiento del número de demandas</w:t>
      </w:r>
      <w:r w:rsidR="003F795C">
        <w:t>,</w:t>
      </w:r>
      <w:r w:rsidR="00A476F9" w:rsidRPr="003F795C">
        <w:t xml:space="preserve"> sino también el aumento del costo de las mismas.</w:t>
      </w:r>
      <w:r w:rsidRPr="007C7009">
        <w:rPr>
          <w:lang w:val="es-ES"/>
        </w:rPr>
        <w:t xml:space="preserve"> </w:t>
      </w:r>
      <w:r>
        <w:rPr>
          <w:lang w:val="es-ES"/>
        </w:rPr>
        <w:t>Resulta</w:t>
      </w:r>
      <w:r w:rsidRPr="00E075EF">
        <w:rPr>
          <w:lang w:val="es-ES"/>
        </w:rPr>
        <w:t xml:space="preserve"> además llamativo que el valor de los juicios ingresados siga siendo elevado, tanto en comparación con períodos anteriores a la escalada de juicios, como en relación con las incapacidades permanentes.</w:t>
      </w:r>
      <w:r w:rsidR="00DB5918">
        <w:rPr>
          <w:lang w:val="es-ES"/>
        </w:rPr>
        <w:t xml:space="preserve"> Afecta además la valuación de juicios en stock, agravando el pasivo contingente de juicios del sistema. </w:t>
      </w:r>
    </w:p>
    <w:p w:rsidR="00F90A6E" w:rsidRDefault="007C7009" w:rsidP="00A476F9">
      <w:pPr>
        <w:jc w:val="both"/>
        <w:rPr>
          <w:lang w:val="es-ES"/>
        </w:rPr>
      </w:pPr>
      <w:r>
        <w:rPr>
          <w:lang w:val="es-ES"/>
        </w:rPr>
        <w:t xml:space="preserve">La </w:t>
      </w:r>
      <w:r w:rsidR="00A476F9" w:rsidRPr="00E075EF">
        <w:rPr>
          <w:lang w:val="es-ES"/>
        </w:rPr>
        <w:t xml:space="preserve">problemática se encuentra a su vez exacerbada por </w:t>
      </w:r>
      <w:r w:rsidR="00DB5918">
        <w:rPr>
          <w:lang w:val="es-ES"/>
        </w:rPr>
        <w:t xml:space="preserve">aplicación de diferentes versiones de </w:t>
      </w:r>
      <w:r w:rsidR="00A476F9" w:rsidRPr="00E075EF">
        <w:rPr>
          <w:lang w:val="es-ES"/>
        </w:rPr>
        <w:t xml:space="preserve">la tasa de interés activa BNA </w:t>
      </w:r>
      <w:r w:rsidR="00A476F9" w:rsidRPr="0042761B">
        <w:rPr>
          <w:lang w:val="es-ES"/>
        </w:rPr>
        <w:t>(</w:t>
      </w:r>
      <w:r w:rsidR="0042761B" w:rsidRPr="0042761B">
        <w:rPr>
          <w:lang w:val="es-ES"/>
        </w:rPr>
        <w:t>hoy en el 60% anual</w:t>
      </w:r>
      <w:r w:rsidR="00A476F9" w:rsidRPr="0042761B">
        <w:rPr>
          <w:lang w:val="es-ES"/>
        </w:rPr>
        <w:t>)</w:t>
      </w:r>
      <w:r w:rsidR="0042761B">
        <w:rPr>
          <w:lang w:val="es-ES"/>
        </w:rPr>
        <w:t xml:space="preserve"> a la cual se ajustan como piso la mayoría de los juicios</w:t>
      </w:r>
      <w:r w:rsidR="00A476F9" w:rsidRPr="00E075EF">
        <w:rPr>
          <w:lang w:val="es-ES"/>
        </w:rPr>
        <w:t xml:space="preserve">. </w:t>
      </w:r>
      <w:r w:rsidR="003F795C">
        <w:rPr>
          <w:lang w:val="es-ES"/>
        </w:rPr>
        <w:t>Tal</w:t>
      </w:r>
      <w:r w:rsidR="00A476F9" w:rsidRPr="00E075EF">
        <w:rPr>
          <w:lang w:val="es-ES"/>
        </w:rPr>
        <w:t xml:space="preserve"> desproporcionado sobrecosto atenta contra la vida del sistema porque lo desfinancia. No hay prima, ni rendimientos de inversión posible para financiar tal desfasaje. </w:t>
      </w:r>
    </w:p>
    <w:p w:rsidR="00A476F9" w:rsidRPr="00E075EF" w:rsidRDefault="007C7009" w:rsidP="00F90A6E">
      <w:pPr>
        <w:jc w:val="both"/>
        <w:rPr>
          <w:lang w:val="es-ES"/>
        </w:rPr>
      </w:pPr>
      <w:r w:rsidRPr="007C7009">
        <w:rPr>
          <w:b/>
          <w:lang w:val="es-ES"/>
        </w:rPr>
        <w:t>Conclusión</w:t>
      </w:r>
      <w:r>
        <w:rPr>
          <w:b/>
          <w:lang w:val="es-ES"/>
        </w:rPr>
        <w:t>.</w:t>
      </w:r>
      <w:r w:rsidR="00A476F9" w:rsidRPr="00E075EF">
        <w:rPr>
          <w:lang w:val="es-ES"/>
        </w:rPr>
        <w:t xml:space="preserve"> </w:t>
      </w:r>
      <w:r>
        <w:rPr>
          <w:lang w:val="es-ES"/>
        </w:rPr>
        <w:t>A</w:t>
      </w:r>
      <w:r w:rsidR="00A476F9" w:rsidRPr="00E075EF">
        <w:rPr>
          <w:lang w:val="es-ES"/>
        </w:rPr>
        <w:t>sistimos una vez más a un fenómeno en el cual la tarea de prevención disminuye el número de fallecidos y de siniestros</w:t>
      </w:r>
      <w:r w:rsidR="007A294D">
        <w:rPr>
          <w:lang w:val="es-ES"/>
        </w:rPr>
        <w:t xml:space="preserve"> y las prestaciones aumentan y mejoran</w:t>
      </w:r>
      <w:r w:rsidR="00A476F9" w:rsidRPr="00E075EF">
        <w:rPr>
          <w:lang w:val="es-ES"/>
        </w:rPr>
        <w:t>, y sin embargo, la litigiosidad paradojalmente crece. Los números expuestos llevan a reflexionar respecto de lo que</w:t>
      </w:r>
      <w:r>
        <w:rPr>
          <w:lang w:val="es-ES"/>
        </w:rPr>
        <w:t xml:space="preserve"> la dilación en la creación de los Cuerpos Médicos Forenses, genera</w:t>
      </w:r>
      <w:r w:rsidR="00A476F9" w:rsidRPr="00E075EF">
        <w:rPr>
          <w:lang w:val="es-ES"/>
        </w:rPr>
        <w:t xml:space="preserve"> para el sistema</w:t>
      </w:r>
      <w:r>
        <w:rPr>
          <w:lang w:val="es-ES"/>
        </w:rPr>
        <w:t>,</w:t>
      </w:r>
      <w:r w:rsidR="00AF634D">
        <w:rPr>
          <w:lang w:val="es-ES"/>
        </w:rPr>
        <w:t xml:space="preserve"> colocándolo en peligroso escenario de desfinanciamiento evitable</w:t>
      </w:r>
      <w:r>
        <w:rPr>
          <w:lang w:val="es-ES"/>
        </w:rPr>
        <w:t xml:space="preserve"> y su enorme impacto en la economía de un país que necesita dejar de encontrar obstáculos subsanables para impulsar su crecimiento.</w:t>
      </w:r>
      <w:r w:rsidR="00A476F9" w:rsidRPr="00E075EF">
        <w:rPr>
          <w:lang w:val="es-ES"/>
        </w:rPr>
        <w:t xml:space="preserve"> </w:t>
      </w:r>
    </w:p>
    <w:p w:rsidR="00863DB2" w:rsidRPr="00E075EF" w:rsidRDefault="00863DB2" w:rsidP="00B8398B">
      <w:pPr>
        <w:jc w:val="both"/>
        <w:rPr>
          <w:lang w:val="es-ES"/>
        </w:rPr>
      </w:pPr>
    </w:p>
    <w:p w:rsidR="008A6F02" w:rsidRPr="00E075EF" w:rsidRDefault="002E09D8" w:rsidP="00B8398B">
      <w:pPr>
        <w:jc w:val="both"/>
      </w:pPr>
      <w:r w:rsidRPr="00E075EF">
        <w:t xml:space="preserve"> </w:t>
      </w:r>
      <w:r w:rsidR="004A7689">
        <w:t>Para más datos de prensa contactarse con Mediática al 011 49616172 o a ls@mediaticaprensa.com.ar</w:t>
      </w:r>
    </w:p>
    <w:p w:rsidR="001E7CE9" w:rsidRPr="00E075EF" w:rsidRDefault="001E7CE9"/>
    <w:p w:rsidR="0036376D" w:rsidRPr="00E075EF" w:rsidRDefault="0036376D"/>
    <w:p w:rsidR="0036376D" w:rsidRPr="00E075EF" w:rsidRDefault="0036376D"/>
    <w:sectPr w:rsidR="0036376D" w:rsidRPr="00E075EF" w:rsidSect="00E672CD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2E" w:rsidRDefault="00A17B2E" w:rsidP="001E7CE9">
      <w:pPr>
        <w:spacing w:after="0" w:line="240" w:lineRule="auto"/>
      </w:pPr>
      <w:r>
        <w:separator/>
      </w:r>
    </w:p>
  </w:endnote>
  <w:endnote w:type="continuationSeparator" w:id="0">
    <w:p w:rsidR="00A17B2E" w:rsidRDefault="00A17B2E" w:rsidP="001E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2E" w:rsidRDefault="00A17B2E" w:rsidP="001E7CE9">
      <w:pPr>
        <w:spacing w:after="0" w:line="240" w:lineRule="auto"/>
      </w:pPr>
      <w:r>
        <w:separator/>
      </w:r>
    </w:p>
  </w:footnote>
  <w:footnote w:type="continuationSeparator" w:id="0">
    <w:p w:rsidR="00A17B2E" w:rsidRDefault="00A17B2E" w:rsidP="001E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EF" w:rsidRDefault="00E075EF">
    <w:pPr>
      <w:pStyle w:val="Encabezado"/>
    </w:pPr>
    <w:r w:rsidRPr="00E075EF">
      <w:rPr>
        <w:noProof/>
      </w:rPr>
      <w:drawing>
        <wp:inline distT="0" distB="0" distL="0" distR="0">
          <wp:extent cx="1227330" cy="406736"/>
          <wp:effectExtent l="1905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39" cy="409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F0B"/>
    <w:multiLevelType w:val="hybridMultilevel"/>
    <w:tmpl w:val="C636881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25E8D"/>
    <w:multiLevelType w:val="hybridMultilevel"/>
    <w:tmpl w:val="497C7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6376D"/>
    <w:rsid w:val="000740CD"/>
    <w:rsid w:val="0007696D"/>
    <w:rsid w:val="00095D92"/>
    <w:rsid w:val="000F4205"/>
    <w:rsid w:val="00131F2F"/>
    <w:rsid w:val="00185716"/>
    <w:rsid w:val="001910EB"/>
    <w:rsid w:val="001E7CE9"/>
    <w:rsid w:val="002000F5"/>
    <w:rsid w:val="00260575"/>
    <w:rsid w:val="0026566C"/>
    <w:rsid w:val="002E09D8"/>
    <w:rsid w:val="002E6ACB"/>
    <w:rsid w:val="003606FC"/>
    <w:rsid w:val="0036376D"/>
    <w:rsid w:val="003672EC"/>
    <w:rsid w:val="003C2DAE"/>
    <w:rsid w:val="003C3680"/>
    <w:rsid w:val="003F795C"/>
    <w:rsid w:val="00401752"/>
    <w:rsid w:val="00423B9E"/>
    <w:rsid w:val="0042761B"/>
    <w:rsid w:val="0043713F"/>
    <w:rsid w:val="004401BC"/>
    <w:rsid w:val="004679D9"/>
    <w:rsid w:val="004A7689"/>
    <w:rsid w:val="004B55FA"/>
    <w:rsid w:val="004E2AAF"/>
    <w:rsid w:val="00523EBD"/>
    <w:rsid w:val="00593750"/>
    <w:rsid w:val="00597B67"/>
    <w:rsid w:val="00600FA6"/>
    <w:rsid w:val="00624D97"/>
    <w:rsid w:val="006C538F"/>
    <w:rsid w:val="006E5D2E"/>
    <w:rsid w:val="00700061"/>
    <w:rsid w:val="00757648"/>
    <w:rsid w:val="007A294D"/>
    <w:rsid w:val="007C7009"/>
    <w:rsid w:val="0084064E"/>
    <w:rsid w:val="00863DB2"/>
    <w:rsid w:val="0088230B"/>
    <w:rsid w:val="008A6F02"/>
    <w:rsid w:val="008B1283"/>
    <w:rsid w:val="008B630A"/>
    <w:rsid w:val="008C70B7"/>
    <w:rsid w:val="008E15DA"/>
    <w:rsid w:val="008F14C0"/>
    <w:rsid w:val="00916A28"/>
    <w:rsid w:val="00920245"/>
    <w:rsid w:val="00933D90"/>
    <w:rsid w:val="0097049D"/>
    <w:rsid w:val="009914BE"/>
    <w:rsid w:val="009A21E8"/>
    <w:rsid w:val="009C0FE8"/>
    <w:rsid w:val="00A17B2E"/>
    <w:rsid w:val="00A40859"/>
    <w:rsid w:val="00A476F9"/>
    <w:rsid w:val="00A73253"/>
    <w:rsid w:val="00AF634D"/>
    <w:rsid w:val="00B1645B"/>
    <w:rsid w:val="00B316F3"/>
    <w:rsid w:val="00B8398B"/>
    <w:rsid w:val="00BF19A4"/>
    <w:rsid w:val="00C54A80"/>
    <w:rsid w:val="00D32A73"/>
    <w:rsid w:val="00D35943"/>
    <w:rsid w:val="00D36106"/>
    <w:rsid w:val="00D4433E"/>
    <w:rsid w:val="00DB5041"/>
    <w:rsid w:val="00DB5918"/>
    <w:rsid w:val="00E075EF"/>
    <w:rsid w:val="00E376D6"/>
    <w:rsid w:val="00E60A0E"/>
    <w:rsid w:val="00E672CD"/>
    <w:rsid w:val="00EA1EE7"/>
    <w:rsid w:val="00F03CA0"/>
    <w:rsid w:val="00F32C10"/>
    <w:rsid w:val="00F77549"/>
    <w:rsid w:val="00F90A6E"/>
    <w:rsid w:val="00FF0D3A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7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CE9"/>
  </w:style>
  <w:style w:type="paragraph" w:styleId="Piedepgina">
    <w:name w:val="footer"/>
    <w:basedOn w:val="Normal"/>
    <w:link w:val="PiedepginaCar"/>
    <w:uiPriority w:val="99"/>
    <w:semiHidden/>
    <w:unhideWhenUsed/>
    <w:rsid w:val="001E7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7CE9"/>
  </w:style>
  <w:style w:type="paragraph" w:styleId="Prrafodelista">
    <w:name w:val="List Paragraph"/>
    <w:basedOn w:val="Normal"/>
    <w:uiPriority w:val="34"/>
    <w:qFormat/>
    <w:rsid w:val="00200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5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70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7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CE9"/>
  </w:style>
  <w:style w:type="paragraph" w:styleId="Piedepgina">
    <w:name w:val="footer"/>
    <w:basedOn w:val="Normal"/>
    <w:link w:val="PiedepginaCar"/>
    <w:uiPriority w:val="99"/>
    <w:semiHidden/>
    <w:unhideWhenUsed/>
    <w:rsid w:val="001E7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7CE9"/>
  </w:style>
  <w:style w:type="paragraph" w:styleId="Prrafodelista">
    <w:name w:val="List Paragraph"/>
    <w:basedOn w:val="Normal"/>
    <w:uiPriority w:val="34"/>
    <w:qFormat/>
    <w:rsid w:val="00200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5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70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2020-01-06T14:50:00Z</dcterms:created>
  <dcterms:modified xsi:type="dcterms:W3CDTF">2020-01-06T15:50:00Z</dcterms:modified>
</cp:coreProperties>
</file>